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C72D" w14:textId="77777777" w:rsidR="00E73F6E" w:rsidRDefault="00E73F6E">
      <w:r>
        <w:rPr>
          <w:noProof/>
        </w:rPr>
        <w:drawing>
          <wp:inline distT="0" distB="0" distL="0" distR="0" wp14:anchorId="230CAE31" wp14:editId="2ADF31AC">
            <wp:extent cx="5410200" cy="43834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1"/>
      </w:tblGrid>
      <w:tr w:rsidR="00E73F6E" w:rsidRPr="00E73F6E" w14:paraId="756BBF9B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E94B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＜代表的なもの＞</w:t>
            </w:r>
          </w:p>
        </w:tc>
      </w:tr>
      <w:tr w:rsidR="00E73F6E" w:rsidRPr="00E73F6E" w14:paraId="129EE916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8396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1983AAE5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16D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仕事の分担がしやすい。</w:t>
            </w:r>
          </w:p>
        </w:tc>
      </w:tr>
      <w:tr w:rsidR="00E73F6E" w:rsidRPr="00E73F6E" w14:paraId="0B0B44E6" w14:textId="77777777" w:rsidTr="00E73F6E">
        <w:trPr>
          <w:trHeight w:val="8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64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32999EDC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D18B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複数人の通級となりサポートしやすい。</w:t>
            </w:r>
          </w:p>
        </w:tc>
      </w:tr>
      <w:tr w:rsidR="00E73F6E" w:rsidRPr="00E73F6E" w14:paraId="4A357242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DD6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1A834441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DCE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適切な指導が可能になる。</w:t>
            </w:r>
          </w:p>
        </w:tc>
      </w:tr>
      <w:tr w:rsidR="00E73F6E" w:rsidRPr="00E73F6E" w14:paraId="3F8C1AA5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346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4642D66A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08A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言語と発達の両面からアセスできる。多面的な視点での児童観察ができる。</w:t>
            </w:r>
          </w:p>
        </w:tc>
      </w:tr>
      <w:tr w:rsidR="00E73F6E" w:rsidRPr="00E73F6E" w14:paraId="64608036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6C1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1C991D9C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70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言語と発達間の移行、幼児言語から学齢への移行や連携がスムーズ。</w:t>
            </w:r>
          </w:p>
        </w:tc>
      </w:tr>
      <w:tr w:rsidR="00E73F6E" w:rsidRPr="00E73F6E" w14:paraId="740009E3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9EA6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46934179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4386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共通の備品や教材・設備が多く、共有できて無駄が減り、費用が節約できる。</w:t>
            </w:r>
          </w:p>
        </w:tc>
      </w:tr>
      <w:tr w:rsidR="00E73F6E" w:rsidRPr="00E73F6E" w14:paraId="2E29FD35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7F9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04BB255C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44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多面的な視点で指導法の研修ができ幅が広がる。指導の様子を参観できる。</w:t>
            </w:r>
          </w:p>
        </w:tc>
      </w:tr>
      <w:tr w:rsidR="00E73F6E" w:rsidRPr="00E73F6E" w14:paraId="5C6959E4" w14:textId="77777777" w:rsidTr="00E73F6E">
        <w:trPr>
          <w:trHeight w:val="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030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F6E" w:rsidRPr="00E73F6E" w14:paraId="35F63BFD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278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併発児の対応の相談、移行時の情報交換がしやすい。</w:t>
            </w:r>
          </w:p>
        </w:tc>
      </w:tr>
      <w:tr w:rsidR="00E73F6E" w:rsidRPr="00E73F6E" w14:paraId="2F2B470F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CF2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在籍校や市教委への統一した働きかけ。</w:t>
            </w:r>
          </w:p>
        </w:tc>
      </w:tr>
      <w:tr w:rsidR="00E73F6E" w:rsidRPr="00E73F6E" w14:paraId="1E5D0E59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771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73F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気軽に早く情報交換・相談ができる。共通理解が持てる。指導方法の共有。</w:t>
            </w:r>
          </w:p>
        </w:tc>
      </w:tr>
      <w:tr w:rsidR="00E73F6E" w:rsidRPr="00E73F6E" w14:paraId="1CEC9263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9B61F" w14:textId="77777777" w:rsidR="00E73F6E" w:rsidRPr="00E73F6E" w:rsidRDefault="00E73F6E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51E4B" w:rsidRPr="00E73F6E" w14:paraId="6B836B33" w14:textId="77777777" w:rsidTr="00E73F6E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A8BB" w14:textId="77777777" w:rsidR="00D51E4B" w:rsidRDefault="00D51E4B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DEE56C3" w14:textId="2BB4872E" w:rsidR="00D51E4B" w:rsidRPr="00E73F6E" w:rsidRDefault="00D51E4B" w:rsidP="00E73F6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04EAC2" w14:textId="77777777" w:rsidR="00E73F6E" w:rsidRDefault="00E73F6E" w:rsidP="00E73F6E">
      <w:r>
        <w:rPr>
          <w:rFonts w:hint="eastAsia"/>
        </w:rPr>
        <w:lastRenderedPageBreak/>
        <w:t>【まとめ】</w:t>
      </w:r>
    </w:p>
    <w:p w14:paraId="45AEDE5B" w14:textId="77777777" w:rsidR="00E73F6E" w:rsidRDefault="00E73F6E" w:rsidP="006850DD">
      <w:pPr>
        <w:ind w:left="210" w:hangingChars="100" w:hanging="210"/>
      </w:pPr>
      <w:r>
        <w:rPr>
          <w:rFonts w:hint="eastAsia"/>
        </w:rPr>
        <w:t>＊複数の教室を置くことにより、情報交換などのコミュニケーションが気軽にでき、指導を適切かつ円滑に進めることができる。</w:t>
      </w:r>
    </w:p>
    <w:p w14:paraId="609526A4" w14:textId="77777777" w:rsidR="00E73F6E" w:rsidRDefault="00E73F6E" w:rsidP="006850DD">
      <w:pPr>
        <w:ind w:left="210" w:hangingChars="100" w:hanging="210"/>
      </w:pPr>
      <w:r>
        <w:rPr>
          <w:rFonts w:hint="eastAsia"/>
        </w:rPr>
        <w:t>＊複数の種類の通級の間で研修やコミュニケーションを行うことにより、指導の幅が生まれる。</w:t>
      </w:r>
    </w:p>
    <w:p w14:paraId="54F85CC2" w14:textId="77777777" w:rsidR="00E73F6E" w:rsidRDefault="00E73F6E" w:rsidP="00E73F6E">
      <w:r>
        <w:rPr>
          <w:rFonts w:hint="eastAsia"/>
        </w:rPr>
        <w:t>＊研修や分掌を組織しやすい。</w:t>
      </w:r>
    </w:p>
    <w:p w14:paraId="570B6FFE" w14:textId="77777777" w:rsidR="00E73F6E" w:rsidRDefault="00E73F6E" w:rsidP="00E73F6E">
      <w:r>
        <w:rPr>
          <w:rFonts w:hint="eastAsia"/>
        </w:rPr>
        <w:t>＊指導の様子を参観するなど、具体的な研修ができる。新任のサポートもしやすい。</w:t>
      </w:r>
    </w:p>
    <w:p w14:paraId="6CD4443A" w14:textId="77777777" w:rsidR="00E73F6E" w:rsidRDefault="00E73F6E" w:rsidP="006850DD">
      <w:pPr>
        <w:ind w:left="210" w:hangingChars="100" w:hanging="210"/>
      </w:pPr>
      <w:r>
        <w:rPr>
          <w:rFonts w:hint="eastAsia"/>
        </w:rPr>
        <w:t>＊複数の目による多角的な視点で通級児を見ることにより、適切な種類の教室で、適切な指導を行うことができる。</w:t>
      </w:r>
    </w:p>
    <w:p w14:paraId="264A66EC" w14:textId="77777777" w:rsidR="00E73F6E" w:rsidRDefault="00E73F6E" w:rsidP="00E73F6E">
      <w:r>
        <w:rPr>
          <w:rFonts w:hint="eastAsia"/>
        </w:rPr>
        <w:t>＊同一校内に複数の種類の通級がある場合、教材や設備等の共有ができ、無駄がない。</w:t>
      </w:r>
    </w:p>
    <w:p w14:paraId="0F5B3D56" w14:textId="77777777" w:rsidR="00E73F6E" w:rsidRDefault="00E73F6E" w:rsidP="00E73F6E">
      <w:r>
        <w:rPr>
          <w:rFonts w:hint="eastAsia"/>
        </w:rPr>
        <w:t>＊通級としての統一性や要望などをまとめやすい。</w:t>
      </w:r>
    </w:p>
    <w:p w14:paraId="3A4CB84D" w14:textId="77777777" w:rsidR="00E73F6E" w:rsidRDefault="00E73F6E" w:rsidP="00E73F6E">
      <w:r>
        <w:rPr>
          <w:rFonts w:hint="eastAsia"/>
        </w:rPr>
        <w:t>＊連携しやすいため、通級間の移行がスムーズに行われる。</w:t>
      </w:r>
    </w:p>
    <w:p w14:paraId="06521F2C" w14:textId="1DD54B1E" w:rsidR="00981BE0" w:rsidRDefault="00E73F6E" w:rsidP="00E73F6E">
      <w:r>
        <w:rPr>
          <w:rFonts w:hint="eastAsia"/>
        </w:rPr>
        <w:t>＊同一時間に兄弟個々に指導できるというメリットもある。</w:t>
      </w:r>
    </w:p>
    <w:p w14:paraId="1AAF8E00" w14:textId="2EB54BAE" w:rsidR="006850DD" w:rsidRDefault="006850DD" w:rsidP="00E73F6E">
      <w:r>
        <w:rPr>
          <w:rFonts w:hint="eastAsia"/>
        </w:rPr>
        <w:t xml:space="preserve">　</w:t>
      </w:r>
    </w:p>
    <w:p w14:paraId="7C250D1A" w14:textId="347495CF" w:rsidR="006850DD" w:rsidRDefault="006850DD" w:rsidP="00E73F6E"/>
    <w:p w14:paraId="77A3E74F" w14:textId="65EDBBFB" w:rsidR="006850DD" w:rsidRDefault="006850DD" w:rsidP="00E73F6E"/>
    <w:p w14:paraId="6C5176CE" w14:textId="0C47A8E3" w:rsidR="006850DD" w:rsidRDefault="006850DD" w:rsidP="00E73F6E"/>
    <w:p w14:paraId="3426BD3F" w14:textId="4D36D6E1" w:rsidR="006850DD" w:rsidRDefault="006850DD" w:rsidP="00E73F6E"/>
    <w:p w14:paraId="4BDE4A08" w14:textId="29CAFC02" w:rsidR="006850DD" w:rsidRDefault="006850DD" w:rsidP="00E73F6E"/>
    <w:p w14:paraId="6B32B02A" w14:textId="77777777" w:rsidR="006850DD" w:rsidRDefault="006850DD" w:rsidP="00E73F6E"/>
    <w:p w14:paraId="1BB01990" w14:textId="129D3A7D" w:rsidR="006850DD" w:rsidRDefault="006850DD" w:rsidP="00E73F6E">
      <w:r>
        <w:rPr>
          <w:noProof/>
        </w:rPr>
        <w:lastRenderedPageBreak/>
        <w:drawing>
          <wp:inline distT="0" distB="0" distL="0" distR="0" wp14:anchorId="47144116" wp14:editId="7D8D9545">
            <wp:extent cx="4940300" cy="3990975"/>
            <wp:effectExtent l="0" t="0" r="12700" b="952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B58B3E7-0D87-E9A7-25E7-C6A6182741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4"/>
      </w:tblGrid>
      <w:tr w:rsidR="006850DD" w:rsidRPr="006850DD" w14:paraId="0146F85F" w14:textId="77777777" w:rsidTr="006850DD">
        <w:trPr>
          <w:trHeight w:val="39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49AB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【まとめ】</w:t>
            </w:r>
          </w:p>
        </w:tc>
      </w:tr>
      <w:tr w:rsidR="006850DD" w:rsidRPr="006850DD" w14:paraId="6023F3A5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006C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＊学齢言語教室と幼児言語教室の共存率は非常に高い。</w:t>
            </w:r>
          </w:p>
        </w:tc>
      </w:tr>
      <w:tr w:rsidR="006850DD" w:rsidRPr="006850DD" w14:paraId="600EA32C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010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＊言語教室と発達教室が同じ小学校に共存する割合は低い。</w:t>
            </w:r>
          </w:p>
        </w:tc>
      </w:tr>
      <w:tr w:rsidR="006850DD" w:rsidRPr="006850DD" w14:paraId="2CB4A2DC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543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＊中学校発達教室と肢体不自由教室は単独設置がほぼ全てである。</w:t>
            </w:r>
          </w:p>
        </w:tc>
      </w:tr>
      <w:tr w:rsidR="006850DD" w:rsidRPr="006850DD" w14:paraId="16686162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B65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＊小学校での単独教室も、45％にのぼる。</w:t>
            </w:r>
          </w:p>
        </w:tc>
      </w:tr>
      <w:tr w:rsidR="006850DD" w:rsidRPr="006850DD" w14:paraId="0D8A96D1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F37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＊幼児言語教室での単独教室は、29％にのぼり、</w:t>
            </w:r>
          </w:p>
        </w:tc>
      </w:tr>
      <w:tr w:rsidR="006850DD" w:rsidRPr="006850DD" w14:paraId="610F44F3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8E7E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それらは、支援センターや市教委、幼稚園に所属する。</w:t>
            </w:r>
          </w:p>
        </w:tc>
      </w:tr>
      <w:tr w:rsidR="006850DD" w:rsidRPr="006850DD" w14:paraId="02C3A2A0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B91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＊同一校内での学級数の増加、同一市町内での教室数の増加が</w:t>
            </w:r>
          </w:p>
        </w:tc>
      </w:tr>
      <w:tr w:rsidR="006850DD" w:rsidRPr="006850DD" w14:paraId="619DED84" w14:textId="77777777" w:rsidTr="006850DD">
        <w:trPr>
          <w:trHeight w:val="3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967" w14:textId="77777777" w:rsidR="006850DD" w:rsidRPr="006850DD" w:rsidRDefault="006850DD" w:rsidP="006850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850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見られると思われる。</w:t>
            </w:r>
          </w:p>
        </w:tc>
      </w:tr>
    </w:tbl>
    <w:p w14:paraId="25081253" w14:textId="77777777" w:rsidR="006850DD" w:rsidRPr="006850DD" w:rsidRDefault="006850DD" w:rsidP="00E73F6E"/>
    <w:sectPr w:rsidR="006850DD" w:rsidRPr="006850D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1424" w14:textId="77777777" w:rsidR="00F25F58" w:rsidRDefault="00F25F58" w:rsidP="00F25F58">
      <w:r>
        <w:separator/>
      </w:r>
    </w:p>
  </w:endnote>
  <w:endnote w:type="continuationSeparator" w:id="0">
    <w:p w14:paraId="69631387" w14:textId="77777777" w:rsidR="00F25F58" w:rsidRDefault="00F25F58" w:rsidP="00F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887B" w14:textId="77777777" w:rsidR="00F25F58" w:rsidRDefault="00F25F58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  <w:p w14:paraId="31588BC7" w14:textId="77777777" w:rsidR="00F25F58" w:rsidRDefault="00F25F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D73A" w14:textId="77777777" w:rsidR="00F25F58" w:rsidRDefault="00F25F58" w:rsidP="00F25F58">
      <w:r>
        <w:separator/>
      </w:r>
    </w:p>
  </w:footnote>
  <w:footnote w:type="continuationSeparator" w:id="0">
    <w:p w14:paraId="6625DF29" w14:textId="77777777" w:rsidR="00F25F58" w:rsidRDefault="00F25F58" w:rsidP="00F2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78"/>
    <w:rsid w:val="006850DD"/>
    <w:rsid w:val="008E5078"/>
    <w:rsid w:val="00981BE0"/>
    <w:rsid w:val="00D51E4B"/>
    <w:rsid w:val="00E73F6E"/>
    <w:rsid w:val="00F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FFBA"/>
  <w15:chartTrackingRefBased/>
  <w15:docId w15:val="{87DE40E9-40F9-4BA5-AA66-369B162D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F58"/>
  </w:style>
  <w:style w:type="paragraph" w:styleId="a5">
    <w:name w:val="footer"/>
    <w:basedOn w:val="a"/>
    <w:link w:val="a6"/>
    <w:uiPriority w:val="99"/>
    <w:unhideWhenUsed/>
    <w:rsid w:val="00F25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複数設置の形態別割合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1277099737532812"/>
          <c:y val="0.13625911426983292"/>
          <c:w val="0.58001377952755906"/>
          <c:h val="0.78824069697969523"/>
        </c:manualLayout>
      </c:layout>
      <c:pieChart>
        <c:varyColors val="1"/>
        <c:ser>
          <c:idx val="0"/>
          <c:order val="0"/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4E-4B2B-BEED-FD9B128251B9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4E-4B2B-BEED-FD9B128251B9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4E-4B2B-BEED-FD9B128251B9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4E-4B2B-BEED-FD9B128251B9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E4E-4B2B-BEED-FD9B128251B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8B28203-0068-48CC-8875-1B91A1C8D9C7}" type="CATEGORYNAME">
                      <a:rPr lang="ja-JP" altLang="en-US">
                        <a:solidFill>
                          <a:schemeClr val="tx1"/>
                        </a:solidFill>
                      </a:rPr>
                      <a:pPr/>
                      <a:t>[分類名]</a:t>
                    </a:fld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C429D359-3E07-47A4-9F7F-EC23D8CE7153}" type="PERCENTAGE">
                      <a:rPr lang="en-US" altLang="ja-JP" baseline="0">
                        <a:solidFill>
                          <a:schemeClr val="tx1"/>
                        </a:solidFill>
                      </a:rPr>
                      <a:pPr/>
                      <a:t>[パーセンテージ]</a:t>
                    </a:fld>
                    <a:endParaRPr lang="ja-JP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4E-4B2B-BEED-FD9B128251B9}"/>
                </c:ext>
              </c:extLst>
            </c:dLbl>
            <c:dLbl>
              <c:idx val="1"/>
              <c:layout>
                <c:manualLayout>
                  <c:x val="-0.19191951905754712"/>
                  <c:y val="-0.11999198190918259"/>
                </c:manualLayout>
              </c:layout>
              <c:tx>
                <c:rich>
                  <a:bodyPr/>
                  <a:lstStyle/>
                  <a:p>
                    <a:fld id="{F53CC4FC-4A38-43D1-8E02-FE9AD9BF3B25}" type="CATEGORYNAME">
                      <a:rPr lang="ja-JP" altLang="en-US">
                        <a:solidFill>
                          <a:schemeClr val="tx1"/>
                        </a:solidFill>
                      </a:rPr>
                      <a:pPr/>
                      <a:t>[分類名]</a:t>
                    </a:fld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2A2924CC-B291-4AEA-BED1-C5F4BBED439A}" type="PERCENTAGE">
                      <a:rPr lang="en-US" altLang="ja-JP" baseline="0">
                        <a:solidFill>
                          <a:schemeClr val="tx1"/>
                        </a:solidFill>
                      </a:rPr>
                      <a:pPr/>
                      <a:t>[パーセンテージ]</a:t>
                    </a:fld>
                    <a:endParaRPr lang="ja-JP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4E-4B2B-BEED-FD9B128251B9}"/>
                </c:ext>
              </c:extLst>
            </c:dLbl>
            <c:dLbl>
              <c:idx val="2"/>
              <c:layout>
                <c:manualLayout>
                  <c:x val="-0.10283636621257819"/>
                  <c:y val="-0.159338507507563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60D847-51AE-496A-A551-6143290E7C90}" type="CATEGORYNAME">
                      <a:rPr lang="ja-JP" altLang="en-US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[分類名]</a:t>
                    </a:fld>
                    <a:r>
                      <a:rPr lang="ja-JP" altLang="en-US">
                        <a:solidFill>
                          <a:schemeClr val="tx1"/>
                        </a:solidFill>
                      </a:rPr>
                      <a:t>　</a:t>
                    </a:r>
                    <a:fld id="{2A3C549C-695E-468C-AAA4-B0633F357373}" type="PERCENTAGE">
                      <a:rPr lang="en-US" altLang="ja-JP" baseline="0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[パーセンテージ]</a:t>
                    </a:fld>
                    <a:endParaRPr lang="ja-JP" alt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36750804607006"/>
                      <c:h val="0.15613377683398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E4E-4B2B-BEED-FD9B128251B9}"/>
                </c:ext>
              </c:extLst>
            </c:dLbl>
            <c:dLbl>
              <c:idx val="3"/>
              <c:layout>
                <c:manualLayout>
                  <c:x val="-0.20528216909904265"/>
                  <c:y val="-0.169118448499426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A61DA69-DC7C-4E9F-8640-7AC83804B281}" type="CATEGORYNAME">
                      <a:rPr lang="ja-JP" altLang="en-US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[分類名]</a:t>
                    </a:fld>
                    <a:r>
                      <a:rPr lang="ja-JP" altLang="en-US">
                        <a:solidFill>
                          <a:schemeClr val="tx1"/>
                        </a:solidFill>
                      </a:rPr>
                      <a:t>　</a:t>
                    </a:r>
                    <a:fld id="{16947F1E-E2BD-45AF-AD5A-995E3C2AFDCA}" type="PERCENTAGE">
                      <a:rPr lang="en-US" altLang="ja-JP" baseline="0">
                        <a:solidFill>
                          <a:schemeClr val="tx1"/>
                        </a:solidFill>
                      </a:rPr>
                      <a:pPr>
                        <a:defRPr/>
                      </a:pPr>
                      <a:t>[パーセンテージ]</a:t>
                    </a:fld>
                    <a:endParaRPr lang="ja-JP" alt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36750804607006"/>
                      <c:h val="0.121129799109240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E4E-4B2B-BEED-FD9B128251B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02A26F4-1CEC-433A-A349-CDFA2D83DA19}" type="CATEGORYNAME">
                      <a:rPr lang="ja-JP" altLang="en-US">
                        <a:solidFill>
                          <a:schemeClr val="tx1"/>
                        </a:solidFill>
                      </a:rPr>
                      <a:pPr/>
                      <a:t>[分類名]</a:t>
                    </a:fld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0E017CF8-01A0-4A62-B5A9-58F5066DE795}" type="PERCENTAGE">
                      <a:rPr lang="en-US" altLang="ja-JP" baseline="0">
                        <a:solidFill>
                          <a:schemeClr val="tx1"/>
                        </a:solidFill>
                      </a:rPr>
                      <a:pPr/>
                      <a:t>[パーセンテージ]</a:t>
                    </a:fld>
                    <a:endParaRPr lang="ja-JP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E4E-4B2B-BEED-FD9B128251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最終!$A$38:$A$42</c:f>
              <c:strCache>
                <c:ptCount val="5"/>
                <c:pt idx="0">
                  <c:v>幼児＋言語</c:v>
                </c:pt>
                <c:pt idx="1">
                  <c:v>幼児＋言語＋発達</c:v>
                </c:pt>
                <c:pt idx="2">
                  <c:v>言語＋発達</c:v>
                </c:pt>
                <c:pt idx="3">
                  <c:v>幼児＋発達</c:v>
                </c:pt>
                <c:pt idx="4">
                  <c:v>単独</c:v>
                </c:pt>
              </c:strCache>
            </c:strRef>
          </c:cat>
          <c:val>
            <c:numRef>
              <c:f>最終!$B$38:$B$42</c:f>
              <c:numCache>
                <c:formatCode>0%</c:formatCode>
                <c:ptCount val="5"/>
                <c:pt idx="0">
                  <c:v>0.28999999999999998</c:v>
                </c:pt>
                <c:pt idx="1">
                  <c:v>0.11</c:v>
                </c:pt>
                <c:pt idx="2">
                  <c:v>0.03</c:v>
                </c:pt>
                <c:pt idx="3">
                  <c:v>0.02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4E-4B2B-BEED-FD9B128251B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宏実</dc:creator>
  <cp:keywords/>
  <dc:description/>
  <cp:lastModifiedBy>栗原 宏実</cp:lastModifiedBy>
  <cp:revision>4</cp:revision>
  <cp:lastPrinted>2023-09-28T05:35:00Z</cp:lastPrinted>
  <dcterms:created xsi:type="dcterms:W3CDTF">2023-09-15T03:52:00Z</dcterms:created>
  <dcterms:modified xsi:type="dcterms:W3CDTF">2023-09-28T05:37:00Z</dcterms:modified>
</cp:coreProperties>
</file>